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50" w:rsidRPr="004F17B1" w:rsidRDefault="007B2550" w:rsidP="007B2550">
      <w:pPr>
        <w:pStyle w:val="1"/>
        <w:spacing w:before="0" w:after="0"/>
        <w:rPr>
          <w:rFonts w:ascii="汉鼎简中黑" w:eastAsia="汉鼎简中黑"/>
          <w:b w:val="0"/>
        </w:rPr>
      </w:pPr>
      <w:bookmarkStart w:id="0" w:name="_Toc484767041"/>
      <w:r w:rsidRPr="004F17B1">
        <w:rPr>
          <w:rFonts w:ascii="汉鼎简中黑" w:eastAsia="汉鼎简中黑" w:hint="eastAsia"/>
          <w:b w:val="0"/>
        </w:rPr>
        <w:t>院系专业分布情况</w:t>
      </w:r>
      <w:bookmarkEnd w:id="0"/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1964"/>
        <w:gridCol w:w="1674"/>
        <w:gridCol w:w="1809"/>
        <w:gridCol w:w="1360"/>
        <w:gridCol w:w="569"/>
        <w:gridCol w:w="1053"/>
      </w:tblGrid>
      <w:tr w:rsidR="007B2550" w:rsidRPr="00B1295D" w:rsidTr="007B2550">
        <w:trPr>
          <w:trHeight w:val="597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学院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专业名称/大类名称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招生科类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学制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学位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安德学院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土木工程（中外合作办学）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工程管理（中外合作办学）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建筑电气与智能化（中外合作办学）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计算机科学与技术（中外合作办学）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建筑学院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建筑学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文、理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五年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建筑学学士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城乡规划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文、理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五年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风景园林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文、理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五年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历史建筑保护工程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五年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土木工程学院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土木工程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交通工程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交通运输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城市地下空间工程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环境与市政工程学院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环境工程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给排水科学与工程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建筑环境与能源应用工程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环境科学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管理科学与工程类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工程管理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管理学学士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工商管理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管理学学士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会计学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管理学学士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信息管理与信息系统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管理学学士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公共管理类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国际经济与贸易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文、理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经济学学士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公共事业管理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管理学学士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文化产业管理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管理学学士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信息与控制工程学院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自动化类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自动化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测控技术与仪器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建筑电气与智能化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计算机科学与技术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通信工程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软件工程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54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电子信息工程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机电工程学院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电气工程及其自动化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机械设计制造及其自动化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机械电子工程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机械工程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车辆工程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lastRenderedPageBreak/>
              <w:t>冶金工程学院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冶金工程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金属材料工程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材料成型及控制工程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化学工程与工艺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材料与矿资学院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材料类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材料科学与工程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资源循环科学与工程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功能材料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矿业类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采矿工程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矿物加工工程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安全工程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理学院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工程力学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应用化学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数学与应用数学</w:t>
            </w:r>
            <w:bookmarkStart w:id="1" w:name="_GoBack"/>
            <w:bookmarkEnd w:id="1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电子信息科学与技术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文学院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汉语言文学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文史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文学学士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英语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文史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文学学士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汉语国际教育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文史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文学学士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法学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文史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法学学士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戏剧影视文学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艺术类</w:t>
            </w: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（编导类）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艺术学学士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艺术学院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proofErr w:type="gramStart"/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设计学类</w:t>
            </w:r>
            <w:proofErr w:type="gram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环境设计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美术类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艺术学学士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视觉传达设计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艺术学学士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产品设计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艺术学学士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艺术与科技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艺术学学士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proofErr w:type="gramStart"/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美术学类</w:t>
            </w:r>
            <w:proofErr w:type="gram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摄影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美术类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艺术学学士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雕塑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艺术学学士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绘画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艺术学学士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广播电视编导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艺术类</w:t>
            </w: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（编导类）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艺术学学士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工业设计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理工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工学学士</w:t>
            </w:r>
          </w:p>
        </w:tc>
      </w:tr>
      <w:tr w:rsidR="007B2550" w:rsidRPr="00B1295D" w:rsidTr="007B2550">
        <w:trPr>
          <w:trHeight w:val="342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体育系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社会体育指导与管理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1295D">
              <w:rPr>
                <w:rFonts w:ascii="宋体" w:hAnsi="宋体" w:cs="宋体" w:hint="eastAsia"/>
                <w:kern w:val="0"/>
                <w:sz w:val="16"/>
                <w:szCs w:val="16"/>
              </w:rPr>
              <w:t>体育类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四年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550" w:rsidRPr="00B1295D" w:rsidRDefault="007B2550" w:rsidP="00D333A9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B1295D">
              <w:rPr>
                <w:rFonts w:ascii="Arial" w:hAnsi="Arial" w:cs="Arial"/>
                <w:kern w:val="0"/>
                <w:sz w:val="16"/>
                <w:szCs w:val="16"/>
              </w:rPr>
              <w:t>教育学学士</w:t>
            </w:r>
          </w:p>
        </w:tc>
      </w:tr>
    </w:tbl>
    <w:p w:rsidR="009420DB" w:rsidRDefault="009420DB"/>
    <w:sectPr w:rsidR="00942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A6" w:rsidRDefault="00CF1BA6" w:rsidP="00377894">
      <w:r>
        <w:separator/>
      </w:r>
    </w:p>
  </w:endnote>
  <w:endnote w:type="continuationSeparator" w:id="0">
    <w:p w:rsidR="00CF1BA6" w:rsidRDefault="00CF1BA6" w:rsidP="0037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大黑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汉鼎简中黑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A6" w:rsidRDefault="00CF1BA6" w:rsidP="00377894">
      <w:r>
        <w:separator/>
      </w:r>
    </w:p>
  </w:footnote>
  <w:footnote w:type="continuationSeparator" w:id="0">
    <w:p w:rsidR="00CF1BA6" w:rsidRDefault="00CF1BA6" w:rsidP="00377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50"/>
    <w:rsid w:val="00377894"/>
    <w:rsid w:val="007B2550"/>
    <w:rsid w:val="007B3192"/>
    <w:rsid w:val="009420DB"/>
    <w:rsid w:val="00C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B2550"/>
    <w:pPr>
      <w:keepNext/>
      <w:keepLines/>
      <w:spacing w:before="100" w:after="160"/>
      <w:jc w:val="center"/>
      <w:outlineLvl w:val="0"/>
    </w:pPr>
    <w:rPr>
      <w:rFonts w:eastAsia="汉仪大黑简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B2550"/>
    <w:rPr>
      <w:rFonts w:ascii="Times New Roman" w:eastAsia="汉仪大黑简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Char"/>
    <w:uiPriority w:val="99"/>
    <w:unhideWhenUsed/>
    <w:rsid w:val="00377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8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89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B2550"/>
    <w:pPr>
      <w:keepNext/>
      <w:keepLines/>
      <w:spacing w:before="100" w:after="160"/>
      <w:jc w:val="center"/>
      <w:outlineLvl w:val="0"/>
    </w:pPr>
    <w:rPr>
      <w:rFonts w:eastAsia="汉仪大黑简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B2550"/>
    <w:rPr>
      <w:rFonts w:ascii="Times New Roman" w:eastAsia="汉仪大黑简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Char"/>
    <w:uiPriority w:val="99"/>
    <w:unhideWhenUsed/>
    <w:rsid w:val="00377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8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8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1229</Characters>
  <Application>Microsoft Office Word</Application>
  <DocSecurity>0</DocSecurity>
  <Lines>10</Lines>
  <Paragraphs>2</Paragraphs>
  <ScaleCrop>false</ScaleCrop>
  <Company>china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学生处</dc:creator>
  <cp:lastModifiedBy>学生处</cp:lastModifiedBy>
  <cp:revision>2</cp:revision>
  <dcterms:created xsi:type="dcterms:W3CDTF">2018-04-28T07:57:00Z</dcterms:created>
  <dcterms:modified xsi:type="dcterms:W3CDTF">2018-05-02T08:14:00Z</dcterms:modified>
</cp:coreProperties>
</file>